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B9A" w:rsidRPr="009779F3" w:rsidRDefault="00A62B9A" w:rsidP="00A16C37">
      <w:pPr>
        <w:jc w:val="both"/>
        <w:rPr>
          <w:rFonts w:ascii="Arial" w:hAnsi="Arial" w:cs="Arial"/>
          <w:b/>
          <w:sz w:val="21"/>
          <w:szCs w:val="21"/>
        </w:rPr>
      </w:pPr>
    </w:p>
    <w:p w:rsidR="00A62B9A" w:rsidRPr="009779F3" w:rsidRDefault="00A62B9A" w:rsidP="00A16C37">
      <w:pPr>
        <w:jc w:val="both"/>
        <w:rPr>
          <w:rFonts w:ascii="Arial" w:hAnsi="Arial" w:cs="Arial"/>
          <w:b/>
          <w:sz w:val="21"/>
          <w:szCs w:val="21"/>
        </w:rPr>
      </w:pPr>
    </w:p>
    <w:p w:rsidR="007F0F03" w:rsidRDefault="00D716E6" w:rsidP="00A16C37">
      <w:pPr>
        <w:jc w:val="both"/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</w:pPr>
      <w:r w:rsidRPr="009779F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South East Essex </w:t>
      </w:r>
      <w:r w:rsidR="007F0F0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>Children’s</w:t>
      </w:r>
      <w:r w:rsidRPr="009779F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 Community Nursing (SEE </w:t>
      </w:r>
      <w:r w:rsidR="007F0F0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>CCN</w:t>
      </w:r>
      <w:r w:rsidRPr="009779F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) </w:t>
      </w:r>
    </w:p>
    <w:p w:rsidR="00A62B9A" w:rsidRPr="009779F3" w:rsidRDefault="00A62B9A" w:rsidP="007F0F03">
      <w:pPr>
        <w:jc w:val="both"/>
        <w:rPr>
          <w:rFonts w:ascii="Arial" w:hAnsi="Arial" w:cs="Arial"/>
          <w:b/>
          <w:sz w:val="21"/>
          <w:szCs w:val="21"/>
        </w:rPr>
      </w:pPr>
      <w:r w:rsidRPr="009779F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Referral </w:t>
      </w:r>
      <w:r w:rsidR="007F0F0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 xml:space="preserve">Form </w:t>
      </w:r>
      <w:r w:rsidRPr="009779F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>Supporting Information</w:t>
      </w:r>
    </w:p>
    <w:p w:rsidR="00A62B9A" w:rsidRPr="009779F3" w:rsidRDefault="00A62B9A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</w:p>
    <w:p w:rsidR="00A62B9A" w:rsidRPr="009779F3" w:rsidRDefault="00A62B9A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The </w:t>
      </w:r>
      <w:r w:rsidR="007F0F03">
        <w:rPr>
          <w:rFonts w:ascii="Arial" w:eastAsia="Calibri" w:hAnsi="Arial" w:cs="Arial"/>
          <w:color w:val="000000"/>
          <w:sz w:val="21"/>
          <w:szCs w:val="21"/>
          <w:lang w:eastAsia="en-US"/>
        </w:rPr>
        <w:t>CCN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team </w:t>
      </w:r>
      <w:r w:rsidR="006B3757"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>visit</w:t>
      </w:r>
      <w:r w:rsidR="00EC615B"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between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</w:t>
      </w:r>
      <w:r w:rsidR="00B86BC6">
        <w:rPr>
          <w:rFonts w:ascii="Arial" w:eastAsia="Calibri" w:hAnsi="Arial" w:cs="Arial"/>
          <w:color w:val="000000"/>
          <w:sz w:val="21"/>
          <w:szCs w:val="21"/>
          <w:lang w:eastAsia="en-US"/>
        </w:rPr>
        <w:t>8.30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am </w:t>
      </w:r>
      <w:r w:rsidR="00A16C37"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>to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</w:t>
      </w:r>
      <w:r w:rsidR="00B86BC6">
        <w:rPr>
          <w:rFonts w:ascii="Arial" w:eastAsia="Calibri" w:hAnsi="Arial" w:cs="Arial"/>
          <w:color w:val="000000"/>
          <w:sz w:val="21"/>
          <w:szCs w:val="21"/>
          <w:lang w:eastAsia="en-US"/>
        </w:rPr>
        <w:t>6.30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pm </w:t>
      </w:r>
      <w:r w:rsidR="00EC615B"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from 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>Monday to Sunday</w:t>
      </w:r>
    </w:p>
    <w:p w:rsidR="00A62B9A" w:rsidRPr="009779F3" w:rsidRDefault="00A62B9A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bookmarkStart w:id="0" w:name="_GoBack"/>
      <w:bookmarkEnd w:id="0"/>
    </w:p>
    <w:p w:rsidR="00A62B9A" w:rsidRPr="009779F3" w:rsidRDefault="00A16C37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</w:pPr>
      <w:r w:rsidRPr="009779F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>Contact details</w:t>
      </w:r>
    </w:p>
    <w:p w:rsidR="00107785" w:rsidRPr="009779F3" w:rsidRDefault="00107785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51"/>
        <w:gridCol w:w="8731"/>
      </w:tblGrid>
      <w:tr w:rsidR="00966A78" w:rsidRPr="009779F3" w:rsidTr="009779F3">
        <w:trPr>
          <w:trHeight w:val="20"/>
        </w:trPr>
        <w:tc>
          <w:tcPr>
            <w:tcW w:w="1951" w:type="dxa"/>
            <w:shd w:val="clear" w:color="auto" w:fill="auto"/>
          </w:tcPr>
          <w:p w:rsidR="00A16C37" w:rsidRPr="009779F3" w:rsidRDefault="00A16C37" w:rsidP="00966A7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Office</w:t>
            </w:r>
          </w:p>
        </w:tc>
        <w:tc>
          <w:tcPr>
            <w:tcW w:w="8731" w:type="dxa"/>
            <w:shd w:val="clear" w:color="auto" w:fill="auto"/>
          </w:tcPr>
          <w:p w:rsidR="00A16C37" w:rsidRPr="009779F3" w:rsidRDefault="00854257" w:rsidP="00966A7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0344 257 3956</w:t>
            </w:r>
          </w:p>
        </w:tc>
      </w:tr>
      <w:tr w:rsidR="00966A78" w:rsidRPr="009779F3" w:rsidTr="009779F3">
        <w:trPr>
          <w:trHeight w:val="20"/>
        </w:trPr>
        <w:tc>
          <w:tcPr>
            <w:tcW w:w="1951" w:type="dxa"/>
            <w:shd w:val="clear" w:color="auto" w:fill="auto"/>
          </w:tcPr>
          <w:p w:rsidR="00A16C37" w:rsidRPr="009779F3" w:rsidRDefault="00A16C37" w:rsidP="00966A7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On-call mobile</w:t>
            </w:r>
          </w:p>
        </w:tc>
        <w:tc>
          <w:tcPr>
            <w:tcW w:w="8731" w:type="dxa"/>
            <w:shd w:val="clear" w:color="auto" w:fill="auto"/>
          </w:tcPr>
          <w:p w:rsidR="00A16C37" w:rsidRPr="009779F3" w:rsidRDefault="00A16C37" w:rsidP="00966A7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07966 792396 – call to discuss referrals</w:t>
            </w:r>
          </w:p>
        </w:tc>
      </w:tr>
      <w:tr w:rsidR="00966A78" w:rsidRPr="009779F3" w:rsidTr="009779F3">
        <w:trPr>
          <w:trHeight w:val="20"/>
        </w:trPr>
        <w:tc>
          <w:tcPr>
            <w:tcW w:w="1951" w:type="dxa"/>
            <w:shd w:val="clear" w:color="auto" w:fill="auto"/>
          </w:tcPr>
          <w:p w:rsidR="00A16C37" w:rsidRPr="009779F3" w:rsidRDefault="00A16C37" w:rsidP="00966A78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Emai</w:t>
            </w: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l</w:t>
            </w:r>
          </w:p>
        </w:tc>
        <w:tc>
          <w:tcPr>
            <w:tcW w:w="8731" w:type="dxa"/>
            <w:shd w:val="clear" w:color="auto" w:fill="auto"/>
          </w:tcPr>
          <w:p w:rsidR="00A16C37" w:rsidRPr="009779F3" w:rsidRDefault="00A16C37" w:rsidP="007F0F0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FF"/>
                <w:sz w:val="21"/>
                <w:szCs w:val="21"/>
                <w:u w:val="single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hyperlink r:id="rId8" w:history="1">
              <w:r w:rsidR="007F0F03" w:rsidRPr="00DD60EB">
                <w:rPr>
                  <w:rStyle w:val="Hyperlink"/>
                  <w:rFonts w:ascii="Arial" w:eastAsia="Calibri" w:hAnsi="Arial" w:cs="Arial"/>
                  <w:sz w:val="21"/>
                  <w:szCs w:val="21"/>
                  <w:lang w:eastAsia="en-US"/>
                </w:rPr>
                <w:t>epunft.ccn@nhs.net</w:t>
              </w:r>
            </w:hyperlink>
          </w:p>
        </w:tc>
      </w:tr>
    </w:tbl>
    <w:p w:rsidR="002F0AED" w:rsidRPr="009779F3" w:rsidRDefault="002F0AED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FF"/>
          <w:sz w:val="21"/>
          <w:szCs w:val="21"/>
          <w:u w:val="single"/>
          <w:lang w:eastAsia="en-US"/>
        </w:rPr>
      </w:pPr>
    </w:p>
    <w:p w:rsidR="00A62B9A" w:rsidRPr="009779F3" w:rsidRDefault="00A62B9A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>Reasons for referral:</w:t>
      </w:r>
    </w:p>
    <w:p w:rsidR="009779F3" w:rsidRPr="009779F3" w:rsidRDefault="009779F3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</w:p>
    <w:p w:rsidR="00A62B9A" w:rsidRPr="009779F3" w:rsidRDefault="00A62B9A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 xml:space="preserve">Chronic disease management </w:t>
      </w:r>
      <w:r w:rsidR="00A16C37" w:rsidRPr="009779F3">
        <w:rPr>
          <w:rFonts w:ascii="Arial" w:hAnsi="Arial" w:cs="Arial"/>
          <w:sz w:val="21"/>
          <w:szCs w:val="21"/>
          <w:lang w:val="en"/>
        </w:rPr>
        <w:t>(</w:t>
      </w:r>
      <w:r w:rsidRPr="009779F3">
        <w:rPr>
          <w:rFonts w:ascii="Arial" w:hAnsi="Arial" w:cs="Arial"/>
          <w:sz w:val="21"/>
          <w:szCs w:val="21"/>
          <w:lang w:val="en"/>
        </w:rPr>
        <w:t>i</w:t>
      </w:r>
      <w:r w:rsidR="00A16C37" w:rsidRPr="009779F3">
        <w:rPr>
          <w:rFonts w:ascii="Arial" w:hAnsi="Arial" w:cs="Arial"/>
          <w:sz w:val="21"/>
          <w:szCs w:val="21"/>
          <w:lang w:val="en"/>
        </w:rPr>
        <w:t>.</w:t>
      </w:r>
      <w:r w:rsidRPr="009779F3">
        <w:rPr>
          <w:rFonts w:ascii="Arial" w:hAnsi="Arial" w:cs="Arial"/>
          <w:sz w:val="21"/>
          <w:szCs w:val="21"/>
          <w:lang w:val="en"/>
        </w:rPr>
        <w:t>e</w:t>
      </w:r>
      <w:r w:rsidR="00A16C37" w:rsidRPr="009779F3">
        <w:rPr>
          <w:rFonts w:ascii="Arial" w:hAnsi="Arial" w:cs="Arial"/>
          <w:sz w:val="21"/>
          <w:szCs w:val="21"/>
          <w:lang w:val="en"/>
        </w:rPr>
        <w:t>.</w:t>
      </w:r>
      <w:r w:rsidRPr="009779F3">
        <w:rPr>
          <w:rFonts w:ascii="Arial" w:hAnsi="Arial" w:cs="Arial"/>
          <w:sz w:val="21"/>
          <w:szCs w:val="21"/>
          <w:lang w:val="en"/>
        </w:rPr>
        <w:t xml:space="preserve"> cerebral palsy/epilepsy</w:t>
      </w:r>
      <w:r w:rsidR="00A16C37" w:rsidRPr="009779F3">
        <w:rPr>
          <w:rFonts w:ascii="Arial" w:hAnsi="Arial" w:cs="Arial"/>
          <w:sz w:val="21"/>
          <w:szCs w:val="21"/>
          <w:lang w:val="en"/>
        </w:rPr>
        <w:t>)</w:t>
      </w:r>
    </w:p>
    <w:p w:rsidR="00A62B9A" w:rsidRPr="009779F3" w:rsidRDefault="00A62B9A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Cancer</w:t>
      </w:r>
    </w:p>
    <w:p w:rsidR="00A62B9A" w:rsidRPr="009779F3" w:rsidRDefault="00A62B9A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Palliative care</w:t>
      </w:r>
    </w:p>
    <w:p w:rsidR="00A62B9A" w:rsidRPr="009779F3" w:rsidRDefault="00A62B9A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Cardiac conditions</w:t>
      </w:r>
    </w:p>
    <w:p w:rsidR="00A62B9A" w:rsidRPr="009779F3" w:rsidRDefault="00A62B9A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 xml:space="preserve">Premature babies </w:t>
      </w:r>
      <w:r w:rsidR="00A16C37" w:rsidRPr="009779F3">
        <w:rPr>
          <w:rFonts w:ascii="Arial" w:hAnsi="Arial" w:cs="Arial"/>
          <w:sz w:val="21"/>
          <w:szCs w:val="21"/>
          <w:lang w:val="en"/>
        </w:rPr>
        <w:t xml:space="preserve">(i.e. </w:t>
      </w:r>
      <w:r w:rsidRPr="009779F3">
        <w:rPr>
          <w:rFonts w:ascii="Arial" w:hAnsi="Arial" w:cs="Arial"/>
          <w:sz w:val="21"/>
          <w:szCs w:val="21"/>
          <w:lang w:val="en"/>
        </w:rPr>
        <w:t>chronic</w:t>
      </w:r>
      <w:r w:rsidR="00A16C37" w:rsidRPr="009779F3">
        <w:rPr>
          <w:rFonts w:ascii="Arial" w:hAnsi="Arial" w:cs="Arial"/>
          <w:sz w:val="21"/>
          <w:szCs w:val="21"/>
          <w:lang w:val="en"/>
        </w:rPr>
        <w:t xml:space="preserve"> </w:t>
      </w:r>
      <w:r w:rsidRPr="009779F3">
        <w:rPr>
          <w:rFonts w:ascii="Arial" w:hAnsi="Arial" w:cs="Arial"/>
          <w:sz w:val="21"/>
          <w:szCs w:val="21"/>
          <w:lang w:val="en"/>
        </w:rPr>
        <w:t>lung disease/feeding issues</w:t>
      </w:r>
      <w:r w:rsidR="00A16C37" w:rsidRPr="009779F3">
        <w:rPr>
          <w:rFonts w:ascii="Arial" w:hAnsi="Arial" w:cs="Arial"/>
          <w:sz w:val="21"/>
          <w:szCs w:val="21"/>
          <w:lang w:val="en"/>
        </w:rPr>
        <w:t>)</w:t>
      </w:r>
    </w:p>
    <w:p w:rsidR="00A62B9A" w:rsidRPr="009779F3" w:rsidRDefault="00A62B9A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Home Oxygen</w:t>
      </w:r>
    </w:p>
    <w:p w:rsidR="00A62B9A" w:rsidRPr="009779F3" w:rsidRDefault="00A62B9A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Acute illness monitoring of vital signs (</w:t>
      </w:r>
      <w:r w:rsidR="00A16C37" w:rsidRPr="009779F3">
        <w:rPr>
          <w:rFonts w:ascii="Arial" w:hAnsi="Arial" w:cs="Arial"/>
          <w:sz w:val="21"/>
          <w:szCs w:val="21"/>
          <w:lang w:val="en"/>
        </w:rPr>
        <w:t xml:space="preserve">i.e. </w:t>
      </w:r>
      <w:r w:rsidRPr="009779F3">
        <w:rPr>
          <w:rFonts w:ascii="Arial" w:hAnsi="Arial" w:cs="Arial"/>
          <w:sz w:val="21"/>
          <w:szCs w:val="21"/>
          <w:lang w:val="en"/>
        </w:rPr>
        <w:t>HSP, bronchiolitis</w:t>
      </w:r>
      <w:r w:rsidR="00A16C37" w:rsidRPr="009779F3">
        <w:rPr>
          <w:rFonts w:ascii="Arial" w:hAnsi="Arial" w:cs="Arial"/>
          <w:sz w:val="21"/>
          <w:szCs w:val="21"/>
          <w:lang w:val="en"/>
        </w:rPr>
        <w:t>,</w:t>
      </w:r>
      <w:r w:rsidRPr="009779F3">
        <w:rPr>
          <w:rFonts w:ascii="Arial" w:hAnsi="Arial" w:cs="Arial"/>
          <w:sz w:val="21"/>
          <w:szCs w:val="21"/>
          <w:lang w:val="en"/>
        </w:rPr>
        <w:t xml:space="preserve"> etc</w:t>
      </w:r>
      <w:r w:rsidR="00A16C37" w:rsidRPr="009779F3">
        <w:rPr>
          <w:rFonts w:ascii="Arial" w:hAnsi="Arial" w:cs="Arial"/>
          <w:sz w:val="21"/>
          <w:szCs w:val="21"/>
          <w:lang w:val="en"/>
        </w:rPr>
        <w:t>.</w:t>
      </w:r>
      <w:r w:rsidRPr="009779F3">
        <w:rPr>
          <w:rFonts w:ascii="Arial" w:hAnsi="Arial" w:cs="Arial"/>
          <w:sz w:val="21"/>
          <w:szCs w:val="21"/>
          <w:lang w:val="en"/>
        </w:rPr>
        <w:t>)</w:t>
      </w:r>
    </w:p>
    <w:p w:rsidR="00EC615B" w:rsidRPr="009779F3" w:rsidRDefault="00EC615B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Asthma/allergies/eczema – (asthma and allergy service)</w:t>
      </w:r>
    </w:p>
    <w:p w:rsidR="00EC615B" w:rsidRPr="009779F3" w:rsidRDefault="00EC615B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Enteral feeding (i.e. NG/NJ/PEG/Gastrostomy/</w:t>
      </w:r>
      <w:proofErr w:type="spellStart"/>
      <w:r w:rsidRPr="009779F3">
        <w:rPr>
          <w:rFonts w:ascii="Arial" w:hAnsi="Arial" w:cs="Arial"/>
          <w:sz w:val="21"/>
          <w:szCs w:val="21"/>
          <w:lang w:val="en"/>
        </w:rPr>
        <w:t>Jejunostomy</w:t>
      </w:r>
      <w:proofErr w:type="spellEnd"/>
      <w:r w:rsidRPr="009779F3">
        <w:rPr>
          <w:rFonts w:ascii="Arial" w:hAnsi="Arial" w:cs="Arial"/>
          <w:sz w:val="21"/>
          <w:szCs w:val="21"/>
          <w:lang w:val="en"/>
        </w:rPr>
        <w:t>, weight monitoring)</w:t>
      </w:r>
    </w:p>
    <w:p w:rsidR="00A62B9A" w:rsidRPr="009779F3" w:rsidRDefault="00A62B9A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Wound care</w:t>
      </w:r>
    </w:p>
    <w:p w:rsidR="00A62B9A" w:rsidRPr="009779F3" w:rsidRDefault="00EC615B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IVAB</w:t>
      </w:r>
    </w:p>
    <w:p w:rsidR="00A62B9A" w:rsidRPr="009779F3" w:rsidRDefault="006B3757" w:rsidP="009779F3">
      <w:pPr>
        <w:numPr>
          <w:ilvl w:val="0"/>
          <w:numId w:val="6"/>
        </w:numPr>
        <w:tabs>
          <w:tab w:val="clear" w:pos="720"/>
        </w:tabs>
        <w:ind w:left="374" w:hanging="357"/>
        <w:jc w:val="both"/>
        <w:rPr>
          <w:rFonts w:ascii="Arial" w:hAnsi="Arial" w:cs="Arial"/>
          <w:sz w:val="21"/>
          <w:szCs w:val="21"/>
          <w:lang w:val="en"/>
        </w:rPr>
      </w:pPr>
      <w:r w:rsidRPr="009779F3">
        <w:rPr>
          <w:rFonts w:ascii="Arial" w:hAnsi="Arial" w:cs="Arial"/>
          <w:sz w:val="21"/>
          <w:szCs w:val="21"/>
          <w:lang w:val="en"/>
        </w:rPr>
        <w:t>SC</w:t>
      </w:r>
      <w:r w:rsidR="00A62B9A" w:rsidRPr="009779F3">
        <w:rPr>
          <w:rFonts w:ascii="Arial" w:hAnsi="Arial" w:cs="Arial"/>
          <w:sz w:val="21"/>
          <w:szCs w:val="21"/>
          <w:lang w:val="en"/>
        </w:rPr>
        <w:t>/IM injections</w:t>
      </w:r>
      <w:r w:rsidR="00EC615B" w:rsidRPr="009779F3">
        <w:rPr>
          <w:rFonts w:ascii="Arial" w:hAnsi="Arial" w:cs="Arial"/>
          <w:sz w:val="21"/>
          <w:szCs w:val="21"/>
          <w:lang w:val="en"/>
        </w:rPr>
        <w:t xml:space="preserve"> </w:t>
      </w:r>
    </w:p>
    <w:p w:rsidR="009779F3" w:rsidRPr="009779F3" w:rsidRDefault="009779F3" w:rsidP="009779F3">
      <w:pPr>
        <w:ind w:left="374"/>
        <w:jc w:val="both"/>
        <w:rPr>
          <w:rFonts w:ascii="Arial" w:hAnsi="Arial" w:cs="Arial"/>
          <w:sz w:val="21"/>
          <w:szCs w:val="21"/>
          <w:lang w:val="en"/>
        </w:rPr>
      </w:pPr>
    </w:p>
    <w:p w:rsidR="00A62B9A" w:rsidRDefault="00A62B9A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For all </w:t>
      </w:r>
      <w:r w:rsidR="007F0F03">
        <w:rPr>
          <w:rFonts w:ascii="Arial" w:eastAsia="Calibri" w:hAnsi="Arial" w:cs="Arial"/>
          <w:color w:val="000000"/>
          <w:sz w:val="21"/>
          <w:szCs w:val="21"/>
          <w:lang w:eastAsia="en-US"/>
        </w:rPr>
        <w:t>CCN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referrals, please discuss patient with </w:t>
      </w:r>
      <w:r w:rsidR="007F0F03">
        <w:rPr>
          <w:rFonts w:ascii="Arial" w:eastAsia="Calibri" w:hAnsi="Arial" w:cs="Arial"/>
          <w:color w:val="000000"/>
          <w:sz w:val="21"/>
          <w:szCs w:val="21"/>
          <w:lang w:eastAsia="en-US"/>
        </w:rPr>
        <w:t>CCN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</w:t>
      </w:r>
      <w:r w:rsidR="00EC615B"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Team 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at earliest opportunity prior to discharge, consider if a </w:t>
      </w:r>
      <w:proofErr w:type="gramStart"/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>discharge planning</w:t>
      </w:r>
      <w:proofErr w:type="gramEnd"/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meeting is required, especially for complex patients – this helps us to plan and manage workloads.</w:t>
      </w:r>
    </w:p>
    <w:p w:rsidR="009779F3" w:rsidRDefault="009779F3" w:rsidP="009779F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</w:p>
    <w:p w:rsidR="009779F3" w:rsidRDefault="009779F3" w:rsidP="009779F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If a next day visit is required, call team </w:t>
      </w:r>
      <w:r w:rsidRPr="009779F3">
        <w:rPr>
          <w:rFonts w:ascii="Arial" w:eastAsia="Calibri" w:hAnsi="Arial" w:cs="Arial"/>
          <w:b/>
          <w:color w:val="000000"/>
          <w:sz w:val="21"/>
          <w:szCs w:val="21"/>
          <w:lang w:eastAsia="en-US"/>
        </w:rPr>
        <w:t>prior</w:t>
      </w:r>
      <w:r w:rsidRPr="009779F3">
        <w:rPr>
          <w:rFonts w:ascii="Arial" w:eastAsia="Calibri" w:hAnsi="Arial" w:cs="Arial"/>
          <w:color w:val="000000"/>
          <w:sz w:val="21"/>
          <w:szCs w:val="21"/>
          <w:lang w:eastAsia="en-US"/>
        </w:rPr>
        <w:t xml:space="preserve"> to patient discharge, as we may not be able to accommodate immediate referral due to current caseload and staffing.</w:t>
      </w:r>
    </w:p>
    <w:p w:rsidR="009779F3" w:rsidRDefault="009779F3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</w:p>
    <w:p w:rsidR="009779F3" w:rsidRPr="009779F3" w:rsidRDefault="009779F3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</w:p>
    <w:p w:rsidR="00A62B9A" w:rsidRPr="009779F3" w:rsidRDefault="00A62B9A" w:rsidP="00A16C3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1"/>
          <w:szCs w:val="21"/>
          <w:lang w:eastAsia="en-US"/>
        </w:rPr>
      </w:pPr>
    </w:p>
    <w:p w:rsidR="009779F3" w:rsidRDefault="009779F3" w:rsidP="009779F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6"/>
          <w:szCs w:val="21"/>
          <w:lang w:eastAsia="en-US"/>
        </w:rPr>
      </w:pPr>
    </w:p>
    <w:p w:rsidR="009779F3" w:rsidRDefault="009779F3" w:rsidP="009779F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6"/>
          <w:szCs w:val="21"/>
          <w:lang w:eastAsia="en-US"/>
        </w:rPr>
      </w:pPr>
    </w:p>
    <w:p w:rsidR="009779F3" w:rsidRDefault="009779F3" w:rsidP="009779F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6"/>
          <w:szCs w:val="21"/>
          <w:lang w:eastAsia="en-US"/>
        </w:rPr>
      </w:pPr>
    </w:p>
    <w:tbl>
      <w:tblPr>
        <w:tblpPr w:leftFromText="180" w:rightFromText="180" w:vertAnchor="text" w:horzAnchor="margin" w:tblpY="-61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762"/>
      </w:tblGrid>
      <w:tr w:rsidR="009779F3" w:rsidRPr="009779F3" w:rsidTr="00FC7E12">
        <w:tc>
          <w:tcPr>
            <w:tcW w:w="5000" w:type="pct"/>
            <w:shd w:val="clear" w:color="auto" w:fill="auto"/>
          </w:tcPr>
          <w:p w:rsidR="009779F3" w:rsidRPr="009779F3" w:rsidRDefault="009779F3" w:rsidP="00FC7E1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IVAB’s</w:t>
            </w:r>
          </w:p>
          <w:p w:rsidR="009779F3" w:rsidRPr="009779F3" w:rsidRDefault="009779F3" w:rsidP="00FC7E12">
            <w:pPr>
              <w:numPr>
                <w:ilvl w:val="0"/>
                <w:numId w:val="12"/>
              </w:numPr>
              <w:ind w:left="505" w:hanging="50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79F3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7F0F03">
              <w:rPr>
                <w:rFonts w:ascii="Arial" w:hAnsi="Arial" w:cs="Arial"/>
                <w:sz w:val="21"/>
                <w:szCs w:val="21"/>
              </w:rPr>
              <w:t>CCN</w:t>
            </w:r>
            <w:r w:rsidRPr="009779F3">
              <w:rPr>
                <w:rFonts w:ascii="Arial" w:hAnsi="Arial" w:cs="Arial"/>
                <w:sz w:val="21"/>
                <w:szCs w:val="21"/>
              </w:rPr>
              <w:t xml:space="preserve"> Team will aim to take on home IV antibiotics 24 hours after receipt of completed referral form.</w:t>
            </w:r>
          </w:p>
          <w:p w:rsidR="009779F3" w:rsidRPr="009779F3" w:rsidRDefault="009779F3" w:rsidP="00FC7E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Please call and check we can accept referral – we cannot give all IVAB’s in the community – take into account weekend/geographical area if more than one referral – only 1 nurse working to cover all referrals/appointments after 5pm and weekends.</w:t>
            </w:r>
          </w:p>
          <w:p w:rsidR="009779F3" w:rsidRPr="009779F3" w:rsidRDefault="009779F3" w:rsidP="00FC7E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We can give TDS, BD, OD – first dose 07h00, last dose 22h00.</w:t>
            </w:r>
          </w:p>
          <w:p w:rsidR="009779F3" w:rsidRPr="009779F3" w:rsidRDefault="009779F3" w:rsidP="00FC7E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Specific length of IVAB treatment if possible – or date of review/bloods.</w:t>
            </w:r>
          </w:p>
          <w:p w:rsidR="009779F3" w:rsidRPr="009779F3" w:rsidRDefault="009779F3" w:rsidP="00FC7E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Prescription chart with IVAB’s, saline, water for injection, hepsal (if long line) all ordered prior to discharge.</w:t>
            </w:r>
          </w:p>
          <w:p w:rsidR="009779F3" w:rsidRPr="009779F3" w:rsidRDefault="009779F3" w:rsidP="00FC7E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First dose of any new drug to </w:t>
            </w:r>
            <w:proofErr w:type="gramStart"/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be given</w:t>
            </w:r>
            <w:proofErr w:type="gramEnd"/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on ward.</w:t>
            </w:r>
          </w:p>
          <w:p w:rsidR="009779F3" w:rsidRPr="009779F3" w:rsidRDefault="009779F3" w:rsidP="00FC7E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Drug levels – document when last taken, when next needed and </w:t>
            </w:r>
            <w:proofErr w:type="gramStart"/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expected</w:t>
            </w:r>
            <w:proofErr w:type="gramEnd"/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levels.</w:t>
            </w:r>
          </w:p>
          <w:p w:rsidR="009779F3" w:rsidRPr="009779F3" w:rsidRDefault="009779F3" w:rsidP="00FC7E1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Prescribed on long-term side not short course on chart if more than 3 days.</w:t>
            </w:r>
          </w:p>
        </w:tc>
      </w:tr>
      <w:tr w:rsidR="009779F3" w:rsidRPr="009779F3" w:rsidTr="00FC7E12">
        <w:tc>
          <w:tcPr>
            <w:tcW w:w="5000" w:type="pct"/>
            <w:shd w:val="clear" w:color="auto" w:fill="auto"/>
          </w:tcPr>
          <w:p w:rsidR="009779F3" w:rsidRPr="009779F3" w:rsidRDefault="009779F3" w:rsidP="00FC7E1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Home Oxygen</w:t>
            </w: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</w:p>
          <w:p w:rsidR="009779F3" w:rsidRPr="009779F3" w:rsidRDefault="009779F3" w:rsidP="00FC7E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Will need to be ordered so a </w:t>
            </w:r>
            <w:proofErr w:type="gramStart"/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discharge planning</w:t>
            </w:r>
            <w:proofErr w:type="gramEnd"/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meeting will be required </w:t>
            </w:r>
            <w:r w:rsidRPr="009779F3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eastAsia="en-US"/>
              </w:rPr>
              <w:t>prior</w:t>
            </w: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to discharge date.</w:t>
            </w:r>
          </w:p>
          <w:p w:rsidR="009779F3" w:rsidRPr="009779F3" w:rsidRDefault="009779F3" w:rsidP="00FC7E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We do not supply saturation monitors unless specifically requested by </w:t>
            </w:r>
            <w:r w:rsidR="00854257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paediatricians</w:t>
            </w: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(only requests in writing are acceptable (form attached) and equipment will need to </w:t>
            </w:r>
            <w:proofErr w:type="gramStart"/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be </w:t>
            </w:r>
            <w:r w:rsidR="00854257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requested</w:t>
            </w:r>
            <w:proofErr w:type="gramEnd"/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 </w:t>
            </w:r>
            <w:r w:rsidR="00854257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prior to patient discharge via MSE ICS</w:t>
            </w: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).</w:t>
            </w:r>
          </w:p>
          <w:p w:rsidR="009779F3" w:rsidRPr="009779F3" w:rsidRDefault="009779F3" w:rsidP="00FC7E1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505" w:hanging="505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 xml:space="preserve">Include in referral: </w:t>
            </w:r>
          </w:p>
          <w:p w:rsidR="009779F3" w:rsidRPr="009779F3" w:rsidRDefault="009779F3" w:rsidP="00FC7E12">
            <w:pPr>
              <w:numPr>
                <w:ilvl w:val="1"/>
                <w:numId w:val="15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1072" w:hanging="567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Childs diagnosis and history.</w:t>
            </w:r>
          </w:p>
          <w:p w:rsidR="009779F3" w:rsidRPr="009779F3" w:rsidRDefault="009779F3" w:rsidP="00FC7E12">
            <w:pPr>
              <w:numPr>
                <w:ilvl w:val="1"/>
                <w:numId w:val="15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1072" w:hanging="567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Treatment required whilst on ward.</w:t>
            </w:r>
          </w:p>
          <w:p w:rsidR="009779F3" w:rsidRPr="009779F3" w:rsidRDefault="009779F3" w:rsidP="00FC7E12">
            <w:pPr>
              <w:numPr>
                <w:ilvl w:val="1"/>
                <w:numId w:val="15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1072" w:hanging="567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Observations on ward and accepted limits at home as advised by consultant.</w:t>
            </w:r>
          </w:p>
          <w:p w:rsidR="009779F3" w:rsidRPr="009779F3" w:rsidRDefault="009779F3" w:rsidP="00FC7E12">
            <w:pPr>
              <w:numPr>
                <w:ilvl w:val="1"/>
                <w:numId w:val="15"/>
              </w:numPr>
              <w:tabs>
                <w:tab w:val="left" w:pos="1072"/>
              </w:tabs>
              <w:autoSpaceDE w:val="0"/>
              <w:autoSpaceDN w:val="0"/>
              <w:adjustRightInd w:val="0"/>
              <w:ind w:left="1072" w:hanging="567"/>
              <w:jc w:val="both"/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</w:pPr>
            <w:r w:rsidRPr="009779F3">
              <w:rPr>
                <w:rFonts w:ascii="Arial" w:eastAsia="Calibri" w:hAnsi="Arial" w:cs="Arial"/>
                <w:color w:val="000000"/>
                <w:sz w:val="21"/>
                <w:szCs w:val="21"/>
                <w:lang w:eastAsia="en-US"/>
              </w:rPr>
              <w:t>Current oxygen requirement and any plan to wean.</w:t>
            </w:r>
          </w:p>
        </w:tc>
      </w:tr>
    </w:tbl>
    <w:p w:rsidR="009779F3" w:rsidRPr="009779F3" w:rsidRDefault="009779F3" w:rsidP="009779F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6"/>
          <w:szCs w:val="21"/>
          <w:lang w:eastAsia="en-US"/>
        </w:rPr>
      </w:pPr>
    </w:p>
    <w:sectPr w:rsidR="009779F3" w:rsidRPr="009779F3" w:rsidSect="009779F3">
      <w:headerReference w:type="default" r:id="rId9"/>
      <w:footerReference w:type="even" r:id="rId10"/>
      <w:footerReference w:type="default" r:id="rId11"/>
      <w:pgSz w:w="11906" w:h="16838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78" w:rsidRDefault="00966A78">
      <w:r>
        <w:separator/>
      </w:r>
    </w:p>
  </w:endnote>
  <w:endnote w:type="continuationSeparator" w:id="0">
    <w:p w:rsidR="00966A78" w:rsidRDefault="0096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6F" w:rsidRDefault="003C49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496F" w:rsidRDefault="003C49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6F" w:rsidRPr="009779F3" w:rsidRDefault="003C496F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9779F3">
      <w:rPr>
        <w:rStyle w:val="PageNumber"/>
        <w:rFonts w:ascii="Arial" w:hAnsi="Arial" w:cs="Arial"/>
        <w:sz w:val="20"/>
      </w:rPr>
      <w:fldChar w:fldCharType="begin"/>
    </w:r>
    <w:r w:rsidRPr="009779F3">
      <w:rPr>
        <w:rStyle w:val="PageNumber"/>
        <w:rFonts w:ascii="Arial" w:hAnsi="Arial" w:cs="Arial"/>
        <w:sz w:val="20"/>
      </w:rPr>
      <w:instrText xml:space="preserve">PAGE  </w:instrText>
    </w:r>
    <w:r w:rsidRPr="009779F3">
      <w:rPr>
        <w:rStyle w:val="PageNumber"/>
        <w:rFonts w:ascii="Arial" w:hAnsi="Arial" w:cs="Arial"/>
        <w:sz w:val="20"/>
      </w:rPr>
      <w:fldChar w:fldCharType="separate"/>
    </w:r>
    <w:r w:rsidR="00B86BC6">
      <w:rPr>
        <w:rStyle w:val="PageNumber"/>
        <w:rFonts w:ascii="Arial" w:hAnsi="Arial" w:cs="Arial"/>
        <w:noProof/>
        <w:sz w:val="20"/>
      </w:rPr>
      <w:t>1</w:t>
    </w:r>
    <w:r w:rsidRPr="009779F3">
      <w:rPr>
        <w:rStyle w:val="PageNumber"/>
        <w:rFonts w:ascii="Arial" w:hAnsi="Arial" w:cs="Arial"/>
        <w:sz w:val="20"/>
      </w:rPr>
      <w:fldChar w:fldCharType="end"/>
    </w:r>
  </w:p>
  <w:p w:rsidR="003C496F" w:rsidRPr="009779F3" w:rsidRDefault="003C496F">
    <w:pPr>
      <w:pStyle w:val="Footer"/>
      <w:ind w:right="360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78" w:rsidRDefault="00966A78">
      <w:r>
        <w:separator/>
      </w:r>
    </w:p>
  </w:footnote>
  <w:footnote w:type="continuationSeparator" w:id="0">
    <w:p w:rsidR="00966A78" w:rsidRDefault="00966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F3" w:rsidRDefault="009779F3">
    <w:pPr>
      <w:pStyle w:val="Header"/>
    </w:pPr>
    <w:r w:rsidRPr="009779F3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ED3D842" wp14:editId="001C5225">
          <wp:simplePos x="0" y="0"/>
          <wp:positionH relativeFrom="column">
            <wp:posOffset>4616450</wp:posOffset>
          </wp:positionH>
          <wp:positionV relativeFrom="paragraph">
            <wp:posOffset>-273050</wp:posOffset>
          </wp:positionV>
          <wp:extent cx="2436495" cy="948526"/>
          <wp:effectExtent l="0" t="0" r="1905" b="4445"/>
          <wp:wrapNone/>
          <wp:docPr id="16" name="Picture 16" descr="Final new letter merg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inal new letter merg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655" b="87524"/>
                  <a:stretch>
                    <a:fillRect/>
                  </a:stretch>
                </pic:blipFill>
                <pic:spPr bwMode="auto">
                  <a:xfrm>
                    <a:off x="0" y="0"/>
                    <a:ext cx="2436495" cy="948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9B5"/>
    <w:multiLevelType w:val="hybridMultilevel"/>
    <w:tmpl w:val="232227F0"/>
    <w:lvl w:ilvl="0" w:tplc="ED602562">
      <w:start w:val="1"/>
      <w:numFmt w:val="bullet"/>
      <w:lvlText w:val="►"/>
      <w:lvlJc w:val="left"/>
      <w:pPr>
        <w:ind w:left="1287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23094B"/>
    <w:multiLevelType w:val="hybridMultilevel"/>
    <w:tmpl w:val="6D5A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1606"/>
    <w:multiLevelType w:val="hybridMultilevel"/>
    <w:tmpl w:val="3FA87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084C"/>
    <w:multiLevelType w:val="hybridMultilevel"/>
    <w:tmpl w:val="17404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72227"/>
    <w:multiLevelType w:val="hybridMultilevel"/>
    <w:tmpl w:val="F14802EE"/>
    <w:lvl w:ilvl="0" w:tplc="ED602562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E69D6"/>
    <w:multiLevelType w:val="hybridMultilevel"/>
    <w:tmpl w:val="11EE4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D219C"/>
    <w:multiLevelType w:val="hybridMultilevel"/>
    <w:tmpl w:val="34AA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75A02"/>
    <w:multiLevelType w:val="hybridMultilevel"/>
    <w:tmpl w:val="AE767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02562">
      <w:start w:val="1"/>
      <w:numFmt w:val="bullet"/>
      <w:lvlText w:val="►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705D3"/>
    <w:multiLevelType w:val="hybridMultilevel"/>
    <w:tmpl w:val="18E6AD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10B33"/>
    <w:multiLevelType w:val="hybridMultilevel"/>
    <w:tmpl w:val="F0DCE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73E8D"/>
    <w:multiLevelType w:val="hybridMultilevel"/>
    <w:tmpl w:val="30963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35D44"/>
    <w:multiLevelType w:val="hybridMultilevel"/>
    <w:tmpl w:val="90E2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952C0"/>
    <w:multiLevelType w:val="hybridMultilevel"/>
    <w:tmpl w:val="18FAA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84F1D"/>
    <w:multiLevelType w:val="hybridMultilevel"/>
    <w:tmpl w:val="AE16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52059"/>
    <w:multiLevelType w:val="hybridMultilevel"/>
    <w:tmpl w:val="534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418F1"/>
    <w:multiLevelType w:val="hybridMultilevel"/>
    <w:tmpl w:val="F1FA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22C48"/>
    <w:multiLevelType w:val="multilevel"/>
    <w:tmpl w:val="FA5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0"/>
  </w:num>
  <w:num w:numId="5">
    <w:abstractNumId w:val="12"/>
  </w:num>
  <w:num w:numId="6">
    <w:abstractNumId w:val="16"/>
  </w:num>
  <w:num w:numId="7">
    <w:abstractNumId w:val="6"/>
  </w:num>
  <w:num w:numId="8">
    <w:abstractNumId w:val="13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81"/>
    <w:rsid w:val="00030FBB"/>
    <w:rsid w:val="00040592"/>
    <w:rsid w:val="00053CFB"/>
    <w:rsid w:val="0005787D"/>
    <w:rsid w:val="000B7F72"/>
    <w:rsid w:val="000C3AFA"/>
    <w:rsid w:val="00107785"/>
    <w:rsid w:val="00187E62"/>
    <w:rsid w:val="001B53C2"/>
    <w:rsid w:val="001C31D8"/>
    <w:rsid w:val="001F6DF2"/>
    <w:rsid w:val="002147A3"/>
    <w:rsid w:val="002558D8"/>
    <w:rsid w:val="002C1EF7"/>
    <w:rsid w:val="002F0AED"/>
    <w:rsid w:val="002F721F"/>
    <w:rsid w:val="0038735F"/>
    <w:rsid w:val="003C496F"/>
    <w:rsid w:val="00402EF0"/>
    <w:rsid w:val="0041242F"/>
    <w:rsid w:val="00466596"/>
    <w:rsid w:val="00502290"/>
    <w:rsid w:val="005024A0"/>
    <w:rsid w:val="00522A3D"/>
    <w:rsid w:val="00524033"/>
    <w:rsid w:val="005574AA"/>
    <w:rsid w:val="005B27C8"/>
    <w:rsid w:val="005F0FA4"/>
    <w:rsid w:val="006358B9"/>
    <w:rsid w:val="006674AA"/>
    <w:rsid w:val="00683445"/>
    <w:rsid w:val="006A0798"/>
    <w:rsid w:val="006B3757"/>
    <w:rsid w:val="0070225D"/>
    <w:rsid w:val="007A5264"/>
    <w:rsid w:val="007D346E"/>
    <w:rsid w:val="007D6F7D"/>
    <w:rsid w:val="007F0F03"/>
    <w:rsid w:val="008300A5"/>
    <w:rsid w:val="008524CB"/>
    <w:rsid w:val="00854257"/>
    <w:rsid w:val="00872985"/>
    <w:rsid w:val="008751A6"/>
    <w:rsid w:val="008C5F81"/>
    <w:rsid w:val="008F4C02"/>
    <w:rsid w:val="009039BA"/>
    <w:rsid w:val="00924F5E"/>
    <w:rsid w:val="00950244"/>
    <w:rsid w:val="00966A78"/>
    <w:rsid w:val="009765F1"/>
    <w:rsid w:val="009779F3"/>
    <w:rsid w:val="0099424F"/>
    <w:rsid w:val="009E640F"/>
    <w:rsid w:val="00A00A19"/>
    <w:rsid w:val="00A16C37"/>
    <w:rsid w:val="00A62B9A"/>
    <w:rsid w:val="00A950DD"/>
    <w:rsid w:val="00AB222C"/>
    <w:rsid w:val="00B30733"/>
    <w:rsid w:val="00B85C7F"/>
    <w:rsid w:val="00B86BC6"/>
    <w:rsid w:val="00B975B3"/>
    <w:rsid w:val="00BC617A"/>
    <w:rsid w:val="00C24978"/>
    <w:rsid w:val="00C249BB"/>
    <w:rsid w:val="00C31B2F"/>
    <w:rsid w:val="00C36F87"/>
    <w:rsid w:val="00C460A0"/>
    <w:rsid w:val="00C77605"/>
    <w:rsid w:val="00CD0EB8"/>
    <w:rsid w:val="00CD7F06"/>
    <w:rsid w:val="00D716E6"/>
    <w:rsid w:val="00E00325"/>
    <w:rsid w:val="00E4579A"/>
    <w:rsid w:val="00E85D6D"/>
    <w:rsid w:val="00EC615B"/>
    <w:rsid w:val="00F037F6"/>
    <w:rsid w:val="00F315D6"/>
    <w:rsid w:val="00F442DF"/>
    <w:rsid w:val="00F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2206C"/>
  <w15:docId w15:val="{47AB5BCE-65C4-4650-A515-D871404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F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C5F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F81"/>
  </w:style>
  <w:style w:type="paragraph" w:styleId="BalloonText">
    <w:name w:val="Balloon Text"/>
    <w:basedOn w:val="Normal"/>
    <w:semiHidden/>
    <w:rsid w:val="008C5F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0F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0FBB"/>
    <w:rPr>
      <w:sz w:val="24"/>
      <w:szCs w:val="24"/>
    </w:rPr>
  </w:style>
  <w:style w:type="table" w:styleId="TableGrid">
    <w:name w:val="Table Grid"/>
    <w:basedOn w:val="TableNormal"/>
    <w:uiPriority w:val="59"/>
    <w:rsid w:val="002C1E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62B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3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cc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000DB-B430-4AFD-B9D3-B9ED197CD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2524</CharactersWithSpaces>
  <SharedDoc>false</SharedDoc>
  <HLinks>
    <vt:vector size="18" baseType="variant">
      <vt:variant>
        <vt:i4>3538968</vt:i4>
      </vt:variant>
      <vt:variant>
        <vt:i4>6</vt:i4>
      </vt:variant>
      <vt:variant>
        <vt:i4>0</vt:i4>
      </vt:variant>
      <vt:variant>
        <vt:i4>5</vt:i4>
      </vt:variant>
      <vt:variant>
        <vt:lpwstr>mailto:epunft.paediatric.asthmaallergy@nhs.net</vt:lpwstr>
      </vt:variant>
      <vt:variant>
        <vt:lpwstr/>
      </vt:variant>
      <vt:variant>
        <vt:i4>6553667</vt:i4>
      </vt:variant>
      <vt:variant>
        <vt:i4>3</vt:i4>
      </vt:variant>
      <vt:variant>
        <vt:i4>0</vt:i4>
      </vt:variant>
      <vt:variant>
        <vt:i4>5</vt:i4>
      </vt:variant>
      <vt:variant>
        <vt:lpwstr>mailto:epunft.PaediatricCommunity-NursingTeam@nhs.net</vt:lpwstr>
      </vt:variant>
      <vt:variant>
        <vt:lpwstr/>
      </vt:variant>
      <vt:variant>
        <vt:i4>6553667</vt:i4>
      </vt:variant>
      <vt:variant>
        <vt:i4>0</vt:i4>
      </vt:variant>
      <vt:variant>
        <vt:i4>0</vt:i4>
      </vt:variant>
      <vt:variant>
        <vt:i4>5</vt:i4>
      </vt:variant>
      <vt:variant>
        <vt:lpwstr>mailto:epunft.PaediatricCommunity-NursingTeam@nhs.net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Moylan Melanie (R1L) Essex Partnership</cp:lastModifiedBy>
  <cp:revision>6</cp:revision>
  <cp:lastPrinted>2017-03-17T13:46:00Z</cp:lastPrinted>
  <dcterms:created xsi:type="dcterms:W3CDTF">2023-01-13T08:39:00Z</dcterms:created>
  <dcterms:modified xsi:type="dcterms:W3CDTF">2024-01-03T14:25:00Z</dcterms:modified>
</cp:coreProperties>
</file>